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E5BC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4260" w:leader="none"/>
        </w:tabs>
        <w:rPr>
          <w:b w:val="1"/>
          <w:sz w:val="28"/>
        </w:rPr>
      </w:pPr>
      <w:r>
        <w:rPr>
          <w:b w:val="1"/>
          <w:sz w:val="28"/>
        </w:rPr>
        <w:t>УТВЕРЖДАЮ</w:t>
      </w:r>
    </w:p>
    <w:p>
      <w:pPr>
        <w:tabs>
          <w:tab w:val="left" w:pos="4260" w:leader="none"/>
        </w:tabs>
        <w:rPr>
          <w:sz w:val="28"/>
        </w:rPr>
      </w:pPr>
      <w:r>
        <w:rPr>
          <w:sz w:val="28"/>
        </w:rPr>
        <w:t xml:space="preserve">Председатель </w:t>
      </w:r>
    </w:p>
    <w:p>
      <w:pPr>
        <w:tabs>
          <w:tab w:val="left" w:pos="4260" w:leader="none"/>
        </w:tabs>
        <w:rPr>
          <w:sz w:val="28"/>
        </w:rPr>
      </w:pPr>
      <w:r>
        <w:rPr>
          <w:sz w:val="28"/>
        </w:rPr>
        <w:t xml:space="preserve">НГОО «Новороссийская </w:t>
      </w:r>
    </w:p>
    <w:p>
      <w:pPr>
        <w:tabs>
          <w:tab w:val="left" w:pos="4260" w:leader="none"/>
        </w:tabs>
        <w:rPr>
          <w:sz w:val="28"/>
        </w:rPr>
      </w:pPr>
      <w:r>
        <w:rPr>
          <w:sz w:val="28"/>
        </w:rPr>
        <w:t xml:space="preserve">федерация футбола» </w:t>
      </w:r>
    </w:p>
    <w:p>
      <w:pPr>
        <w:tabs>
          <w:tab w:val="left" w:pos="4260" w:leader="none"/>
        </w:tabs>
        <w:rPr>
          <w:b w:val="1"/>
          <w:sz w:val="28"/>
        </w:rPr>
      </w:pPr>
      <w:r>
        <w:rPr>
          <w:sz w:val="28"/>
        </w:rPr>
        <w:t>_____________/ В. В. Бут</w:t>
      </w:r>
    </w:p>
    <w:p>
      <w:pPr>
        <w:tabs>
          <w:tab w:val="left" w:pos="4260" w:leader="none"/>
        </w:tabs>
        <w:rPr>
          <w:b w:val="1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 ПРОВЕДЕНИИ ВСЕРОССИЙСКОГО ФУТБОЛЬНОГО ФЕСТИВАЛЯ  </w:t>
      </w: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"ФУТБОЛ – ЭТО Я".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Новороссийск, 2020г.</w:t>
      </w: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I. ОБЩИЕ ВОПРОСЫ ОРГАНИЗАЦИИ И ПРОВЕДЕНИЯ СОРЕВНОВАНИЙ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1. Общее руководство организацией и проведением Всероссийского футбольного фестиваля «ФУТБОЛ – ЭТО Я» (далее Турнир) осуществляет НГОО "Новороссийская федерация футбола», при поддержке УТБ «БУТКЭМП».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Организатором соревнований назначен П. Г. Дроздов, тел. 8 (918) 326-70-32.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2. Всероссийский футбольный фестиваль «ФУТБОЛ – ЭТО Я» проводится в соответствии с настоящим Положением.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3. При возникновении ситуаций, связанных с организацией и проведением Турнира, разрешение которых невозможно на основании настоящего Положения, организационный комитет и главная судейская коллегия имеют право принимать по ним решения с последующим информированием участников Турнира.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 ЦЕЛИ И ЗАДАЧИ ТУРНИРА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1. Всероссийский футбольный фестиваль «Футбол – это я» проводится в целях: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массового привлечения детей и подростков к систематическим занятиям физической культурой и спортом;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повышения уровня спортивного мастерства футболистов;</w:t>
      </w:r>
    </w:p>
    <w:p>
      <w:pPr>
        <w:ind w:firstLine="567"/>
        <w:rPr>
          <w:color w:val="000000"/>
          <w:sz w:val="28"/>
        </w:rPr>
      </w:pPr>
      <w:r>
        <w:rPr>
          <w:i w:val="1"/>
          <w:color w:val="000000"/>
          <w:sz w:val="28"/>
        </w:rPr>
        <w:t xml:space="preserve">- </w:t>
      </w:r>
      <w:r>
        <w:rPr>
          <w:color w:val="000000"/>
          <w:sz w:val="28"/>
        </w:rPr>
        <w:t>популяризации и развития футбола на территории РФ;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обмен опытом спортивных школ РФ, ближнего и дальнего зарубежья;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популяризации города Новороссийска, как центра спортивного туризма;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пропаганды здорового образа жизни.</w:t>
      </w:r>
    </w:p>
    <w:p>
      <w:pPr>
        <w:ind w:firstLine="567"/>
        <w:rPr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III. МЕСТО И СРОКИ ПРОВЕДЕНИЯ ТУРНИРА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1. Турнир проводится в Краснодарском крае, г. Новороссийск, п. Широкая Балка (координаты 44.665282, 37.679368), УТБ «БУТКЭМП», с 08 августа по 30 августа 2020 года.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2. Турнир пройдет в 4 этапа: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C 9-13 АВГУСТА (2011,2012,2013 Г.Р.).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С 14-18 АВГУСТА (2004,2005,2006 Г.Р.)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С 19-23 АВГУСТА (2009,2010 Г.Р.)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>С 25-30 АВГУСТА (2007,2008 Г.Р.)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 УЧАСТНИКИ ТУРНИРА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1. К участию в Турнире допускаются команды, сформированные из футболистов соответствующего года рождения, прошедших медицинское обследование и имеющих справку (отметку в заявке) заверенную печатью о состоянии здоровья, позволяющей принять участие в Турнире. 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2. Состав делегации команды для участия в Турнире: </w:t>
      </w:r>
      <w:r>
        <w:rPr>
          <w:b w:val="1"/>
          <w:color w:val="000000"/>
          <w:sz w:val="28"/>
        </w:rPr>
        <w:t xml:space="preserve">21 человек </w:t>
      </w:r>
    </w:p>
    <w:p>
      <w:pPr>
        <w:ind w:firstLine="567"/>
        <w:jc w:val="left"/>
        <w:rPr>
          <w:color w:val="000000"/>
          <w:sz w:val="28"/>
        </w:rPr>
      </w:pPr>
      <w:r>
        <w:rPr>
          <w:b w:val="1"/>
          <w:color w:val="000000"/>
          <w:sz w:val="28"/>
        </w:rPr>
        <w:t>(19 футболистов + 2 тренера).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3. Ответственность за прохождение медицинского обследования игроков,</w:t>
      </w:r>
      <w:r>
        <w:rPr>
          <w:sz w:val="28"/>
        </w:rPr>
        <w:t xml:space="preserve"> материальную ответственность за порчу имущества в местах проживания и проведения соревнований, а также </w:t>
      </w:r>
      <w:r>
        <w:rPr>
          <w:color w:val="000000"/>
          <w:sz w:val="28"/>
        </w:rPr>
        <w:t>поведение родителей на стадионе, возлагается на тренера/официального представителя команды.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4. Данное Положение является официальным приглашением для участия в данном турнире. </w:t>
      </w:r>
      <w:r>
        <w:rPr>
          <w:b w:val="1"/>
          <w:color w:val="000000"/>
          <w:sz w:val="28"/>
        </w:rPr>
        <w:t>Подача окончательной заявки в мандатную комиссию турнира означает полное согласие участника со всеми пунктами данного Положения.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К участию в турнире допускается команда, принявшая все условия организаторов (проживание и питание).</w:t>
      </w:r>
    </w:p>
    <w:p>
      <w:pPr>
        <w:ind w:firstLine="567"/>
        <w:jc w:val="left"/>
        <w:rPr>
          <w:color w:val="000000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V. ЗАЯВКИ НА УЧАСТИЕ В ТУРНИРЕ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1. Для участия в Турнире команды (представители команд) обязаны:</w:t>
      </w:r>
    </w:p>
    <w:p>
      <w:pPr>
        <w:ind w:firstLine="567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в установленный срок направить в адрес НГОО «Новороссийская федерация футбола» (email: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"mailto:info@bcamp.ru"</w:instrText>
      </w:r>
      <w:r>
        <w:rPr>
          <w:color w:val="000000"/>
          <w:sz w:val="28"/>
        </w:rPr>
        <w:fldChar w:fldCharType="separate"/>
      </w:r>
      <w:r>
        <w:rPr>
          <w:rStyle w:val="C2"/>
          <w:sz w:val="28"/>
        </w:rPr>
        <w:t>info@bcamp.ru</w:t>
      </w:r>
      <w:r>
        <w:rPr>
          <w:rStyle w:val="C2"/>
          <w:sz w:val="28"/>
        </w:rPr>
        <w:fldChar w:fldCharType="end"/>
      </w:r>
      <w:r>
        <w:rPr>
          <w:color w:val="000000"/>
          <w:sz w:val="28"/>
        </w:rPr>
        <w:t>) предварительные заявки по установленной форме с указанием полного состава делегации (Ф.И.О тренеров, руководителей, полным списком футболистов и сопровождающих), предварительная заявка подается не позднее семи дней до начала Турнира;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>- предоставить в судейскую коллегию заявки в электронном виде на официальном бланке в срок не позднее трёх дней до начала Турнира (в них необходимо указать: Ф.И.О футболиста, полную дату рождения, серию/номер паспорта (свидетельства о рождении), домашний адрес</w:t>
      </w:r>
      <w:r>
        <w:rPr>
          <w:b w:val="1"/>
          <w:color w:val="000000"/>
          <w:sz w:val="28"/>
        </w:rPr>
        <w:t>, визу врача (медицинский допуск к соревнованиям)</w:t>
      </w:r>
      <w:r>
        <w:rPr>
          <w:color w:val="000000"/>
          <w:sz w:val="28"/>
        </w:rPr>
        <w:t>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- сообщить дату прибытия, номер рейса/поезда (вагона), по конт. тел.: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8 (989) 768-27-26 (Игорь Багдасарян), за семь дней до начала турнира.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2. Официальное подтверждение участия в Турнире (отправка в Оргкомитет заполненного регистрационного бланка) и оплаты заявочного взноса должны быть произведены командами не позднее установленного срока организаторами. В случае несвоевременного предоставления официального подтверждения участия в Турнире и невнесения оплаты заявочного взноса командами не гарантируется участие в Турнире.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3. До начала турнира команды должны пройти мандатную комиссию, предоставив следующие документы:</w:t>
      </w:r>
    </w:p>
    <w:p>
      <w:pPr>
        <w:ind w:firstLine="567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заявочный лист команды установленного образца, отпечатанный в двух экземплярах, заверенный руководителем муниципального образования, директором спортивного учреждения представляемой команды, медицинским работником врачебно-физкультурного диспансера;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для юношей и девушек 14-16 лет - паспорт Российской Федерации (оригинал);</w:t>
      </w:r>
    </w:p>
    <w:p>
      <w:pPr>
        <w:ind w:firstLine="567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для юношей и девушек 7-13 лет — свидетельство о рождении (оригинал);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личную фотографию на каждого участника размером 9х12, заверенную директором спортивного учреждения с печатью;</w:t>
      </w:r>
    </w:p>
    <w:p>
      <w:pPr>
        <w:ind w:firstLine="567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договор о страховании футболистов от несчастного случая;</w:t>
      </w:r>
    </w:p>
    <w:p>
      <w:pPr>
        <w:ind w:firstLine="567"/>
        <w:jc w:val="left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>согласие родителей на выезд ребенка для участия в турнире, а также протокол собрания родителей для тех команд, финансовые затраты которых перекрываются за счет собственных средств родителей.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4. В ходе Турнира внесение замен в заявку не допускается.</w:t>
      </w:r>
    </w:p>
    <w:p>
      <w:pPr>
        <w:ind w:firstLine="567"/>
        <w:jc w:val="left"/>
        <w:rPr>
          <w:color w:val="000000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VI. ЭКИПИРОВКА ФУТБОЛИСТОВ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1. Обязательными являются футболка/майка с коротким или длинным рукавом, трусы, спортивная обувь (кроссовки, кеды, бутсы) и щитки.</w:t>
      </w:r>
    </w:p>
    <w:p>
      <w:pPr>
        <w:ind w:firstLine="567"/>
        <w:jc w:val="left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Не допускается использование бутс с металлическими шипами*</w:t>
      </w:r>
    </w:p>
    <w:p>
      <w:pPr>
        <w:ind w:firstLine="567"/>
        <w:jc w:val="left"/>
        <w:rPr>
          <w:b w:val="1"/>
          <w:sz w:val="28"/>
        </w:rPr>
      </w:pPr>
      <w:r>
        <w:rPr>
          <w:sz w:val="28"/>
        </w:rPr>
        <w:t>2. Каждая команда должна иметь минимум два комплекта формы.</w:t>
      </w:r>
    </w:p>
    <w:p>
      <w:pPr>
        <w:ind w:firstLine="567"/>
        <w:jc w:val="left"/>
        <w:rPr>
          <w:i w:val="1"/>
          <w:color w:val="000000"/>
          <w:sz w:val="28"/>
          <w:u w:val="single"/>
        </w:rPr>
      </w:pPr>
      <w:r>
        <w:rPr>
          <w:i w:val="1"/>
          <w:sz w:val="28"/>
          <w:u w:val="single"/>
        </w:rPr>
        <w:t>На футболках не допускается размещение: оскорбительных, вульгарных, непристойных лозунгов и изображений*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3. В случае несоответствии экипировки, команда обязана по требованию судьи (представителя оргкомитета, главной судейской коллегии) сменить экипировку. В противном случае команда не допускается к матчу.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4. Запрещены ювелирные украшения, часы, другие элементы экипировки, которые могут нанести вред игроку/игрокам. </w:t>
      </w:r>
    </w:p>
    <w:p>
      <w:pPr>
        <w:ind w:firstLine="567"/>
        <w:jc w:val="left"/>
        <w:rPr>
          <w:i w:val="1"/>
          <w:color w:val="000000"/>
          <w:sz w:val="28"/>
          <w:u w:val="single"/>
        </w:rPr>
      </w:pPr>
      <w:r>
        <w:rPr>
          <w:i w:val="1"/>
          <w:color w:val="000000"/>
          <w:sz w:val="28"/>
          <w:u w:val="single"/>
        </w:rPr>
        <w:t>При несоответствии экипировки, игрок отправляется за пределы поля, чтобы привести её в порядок. Вернуться на поле может только с разрешения судьи матча*</w:t>
      </w:r>
    </w:p>
    <w:p>
      <w:pPr>
        <w:ind w:firstLine="567"/>
        <w:jc w:val="center"/>
        <w:rPr>
          <w:b w:val="1"/>
          <w:color w:val="000000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VII. ПРОТЕСТЫ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1. Главная судейская коллегия Турнира рассматривает только официальные протесты и апелляции, поданные официальными представителями команды (включенные в заявку) в течении 10 минут после окончания игры. </w:t>
      </w:r>
    </w:p>
    <w:p>
      <w:pPr>
        <w:ind w:firstLine="567"/>
        <w:jc w:val="left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Замена официальных представителей команд в ходе турнира – запрещается.</w:t>
      </w:r>
    </w:p>
    <w:p>
      <w:pPr>
        <w:ind w:firstLine="567"/>
        <w:jc w:val="left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Обращаем ваше внимание, что во время матча, возле запасных игроков (в технической зоне) имеют право находиться только тренеры команд.</w:t>
      </w:r>
      <w:r>
        <w:rPr>
          <w:color w:val="FF0000"/>
          <w:sz w:val="27"/>
        </w:rPr>
        <w:t xml:space="preserve"> </w:t>
      </w:r>
      <w:r>
        <w:rPr>
          <w:i w:val="1"/>
          <w:color w:val="000000"/>
          <w:sz w:val="28"/>
        </w:rPr>
        <w:t>Все остальные участники Турнира, а именно: менеджеры, спонсоры, родители, друзья и т.д., обязаны во время матча находиться на трибуне или на расстоянии не ближе 10 м. от технической зоны. Исключение – видеооператоры. Допускается присутствие одного видеооператора от каждой команды, при условии соблюдения спортивной формы одежды.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2. Протесты рассматриваются в течении 15 минут после их подачи и только в том случае, если записаны в протоколе матча.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3. Протесты на решения судьи, принятые на поле по фактам, имевшим место в игре, не принимаются.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4. Решения Главной судейской коллегии являются окончательными и основания для принятия решения не комментируются.  </w:t>
      </w:r>
    </w:p>
    <w:p>
      <w:pPr>
        <w:jc w:val="left"/>
        <w:rPr>
          <w:color w:val="000000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VIII. ПРОГРАММА ТУРНИРА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1. Программа Турнира и формат проведения определяется организационным комитетом не позднее, чем за три дня до начала турнира и зависит от количества команд-участниц.  </w:t>
      </w:r>
    </w:p>
    <w:p>
      <w:pPr>
        <w:ind w:firstLine="567"/>
        <w:rPr>
          <w:b w:val="1"/>
          <w:sz w:val="28"/>
        </w:rPr>
      </w:pPr>
      <w:r>
        <w:rPr>
          <w:sz w:val="28"/>
        </w:rPr>
        <w:t>2. Формат проведения:</w:t>
      </w:r>
      <w:r>
        <w:rPr>
          <w:b w:val="1"/>
          <w:sz w:val="28"/>
        </w:rPr>
        <w:t xml:space="preserve"> </w:t>
      </w:r>
    </w:p>
    <w:tbl>
      <w:tblPr>
        <w:tblW w:w="11624" w:type="dxa"/>
        <w:tblCellSpacing w:w="15" w:type="dxa"/>
        <w:tblInd w:w="-79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Год</w:t>
              <w:br w:type="textWrapping"/>
              <w:t>рождения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Время</w:t>
              <w:br w:type="textWrapping"/>
              <w:t>матча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Состав, чел.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Размеры поля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Размеры</w:t>
              <w:br w:type="textWrapping"/>
              <w:t>ворот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Размер мяча, №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Пенальти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«Вне игры»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Замены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Карточки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2004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2х35' +</w:t>
              <w:br w:type="textWrapping"/>
            </w:r>
            <w:r>
              <w:rPr>
                <w:sz w:val="28"/>
              </w:rPr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 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Станд.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Станд.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обратных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без права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2х30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 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</w:t>
            </w:r>
          </w:p>
        </w:tc>
        <w:tc>
          <w:tcPr>
            <w:tcW w:w="937" w:type="dxa"/>
          </w:tcPr>
          <w:p>
            <w:pPr>
              <w:jc w:val="center"/>
            </w:pPr>
            <w:r>
              <w:rPr>
                <w:sz w:val="28"/>
              </w:rPr>
              <w:t>Станд.</w:t>
            </w:r>
          </w:p>
        </w:tc>
        <w:tc>
          <w:tcPr>
            <w:tcW w:w="1246" w:type="dxa"/>
          </w:tcPr>
          <w:p>
            <w:pPr>
              <w:jc w:val="center"/>
            </w:pPr>
            <w:r>
              <w:rPr>
                <w:sz w:val="28"/>
              </w:rPr>
              <w:t>Станд.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обратных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без права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2006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2х30'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 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(10+1)</w:t>
            </w:r>
          </w:p>
        </w:tc>
        <w:tc>
          <w:tcPr>
            <w:tcW w:w="937" w:type="dxa"/>
          </w:tcPr>
          <w:p>
            <w:pPr>
              <w:jc w:val="center"/>
            </w:pPr>
            <w:r>
              <w:rPr>
                <w:sz w:val="28"/>
              </w:rPr>
              <w:t>Станд.</w:t>
            </w:r>
          </w:p>
        </w:tc>
        <w:tc>
          <w:tcPr>
            <w:tcW w:w="1246" w:type="dxa"/>
          </w:tcPr>
          <w:p>
            <w:pPr>
              <w:jc w:val="center"/>
            </w:pPr>
            <w:r>
              <w:rPr>
                <w:sz w:val="28"/>
              </w:rPr>
              <w:t>Станд.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обратных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без права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2007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2х25'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(10+1) х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(10+1)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Станд.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Станд.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</w:t>
              <w:br w:type="textWrapping"/>
              <w:t>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без права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2008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2х25'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(8+1) х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(8+1)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35х55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2х5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</w:t>
              <w:br w:type="textWrapping"/>
              <w:t>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2009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2х20'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(8+1) х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(8+1)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35х55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2х5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</w:t>
              <w:br w:type="textWrapping"/>
              <w:t>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  <w:p>
            <w:pPr>
              <w:jc w:val="center"/>
              <w:rPr>
                <w:sz w:val="28"/>
              </w:rPr>
            </w:pP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2х20' +</w:t>
              <w:br w:type="textWrapping"/>
              <w:t>5'перерыв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(6+1) х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(6+1)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30х45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2х5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</w:t>
              <w:br w:type="textWrapping"/>
              <w:t>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2*20+5 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(6+1) х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(6+1)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30х45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2*5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 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2*20+5 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(4+1) 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(4+1)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20*40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 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</w:tc>
      </w:tr>
      <w:tr>
        <w:trPr>
          <w:trHeight w:hRule="atLeast" w:val="568"/>
          <w:tblCellSpacing w:w="15" w:type="dxa"/>
        </w:trPr>
        <w:tc>
          <w:tcPr>
            <w:tcW w:w="1090" w:type="dxa"/>
            <w:vAlign w:val="center"/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2013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2*20+5 перерыв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(4+1) 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(4+1)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20*40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м.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Обратные, «летучие»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Удаление с правом замены</w:t>
            </w:r>
          </w:p>
        </w:tc>
      </w:tr>
    </w:tbl>
    <w:p>
      <w:pPr>
        <w:ind w:firstLine="567"/>
        <w:rPr>
          <w:color w:val="000000"/>
          <w:sz w:val="28"/>
          <w:u w:val="single"/>
        </w:rPr>
      </w:pPr>
      <w:r>
        <w:rPr>
          <w:i w:val="1"/>
          <w:color w:val="000000"/>
          <w:sz w:val="28"/>
          <w:u w:val="single"/>
        </w:rPr>
        <w:t xml:space="preserve">Организационный комитет имеют право, в зависимости от количества команд, изменять пункт «Время матча», </w:t>
      </w:r>
      <w:r>
        <w:rPr>
          <w:color w:val="000000"/>
          <w:sz w:val="28"/>
          <w:u w:val="single"/>
        </w:rPr>
        <w:t>с последующим информированием участников Турнира.</w:t>
      </w:r>
    </w:p>
    <w:p>
      <w:pPr>
        <w:ind w:firstLine="567"/>
        <w:rPr>
          <w:b w:val="1"/>
          <w:i w:val="1"/>
          <w:color w:val="000000"/>
          <w:sz w:val="28"/>
          <w:u w:val="single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IX. ОПРЕДЕЛЕНИЕ ПОБЕДИТЕЛЕЙ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Матчи Турнира проводятся по правилам игры в футбол с учётом данного Положения.</w:t>
      </w:r>
    </w:p>
    <w:p>
      <w:pPr>
        <w:ind w:firstLine="567"/>
        <w:jc w:val="left"/>
        <w:rPr>
          <w:b w:val="1"/>
          <w:i w:val="1"/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 xml:space="preserve">Места команд в группах определяются по наибольшей сумме очков, </w:t>
      </w:r>
    </w:p>
    <w:p>
      <w:pPr>
        <w:rPr>
          <w:sz w:val="28"/>
        </w:rPr>
      </w:pPr>
      <w:r>
        <w:rPr>
          <w:sz w:val="28"/>
        </w:rPr>
        <w:t xml:space="preserve">набранных во всех матчах. За победу начисляется - 3 очка, за ничью - 1 очко, за поражение - 0 очков. </w:t>
      </w:r>
    </w:p>
    <w:p>
      <w:pPr>
        <w:ind w:firstLine="567"/>
        <w:rPr>
          <w:sz w:val="28"/>
        </w:rPr>
      </w:pPr>
      <w:r>
        <w:rPr>
          <w:sz w:val="28"/>
        </w:rPr>
        <w:t>3. В случае равенства очков у двух и более команд места определяются:</w:t>
      </w:r>
    </w:p>
    <w:p>
      <w:pPr>
        <w:ind w:firstLine="567"/>
        <w:rPr>
          <w:sz w:val="28"/>
        </w:rPr>
      </w:pPr>
      <w:r>
        <w:rPr>
          <w:sz w:val="28"/>
        </w:rPr>
        <w:t>а) по результатам игр между собой (число очков, число побед, разница забитых и пропущенных мячей, число забитых мячей);</w:t>
      </w:r>
    </w:p>
    <w:p>
      <w:pPr>
        <w:ind w:firstLine="567"/>
        <w:rPr>
          <w:sz w:val="28"/>
        </w:rPr>
      </w:pPr>
      <w:r>
        <w:rPr>
          <w:sz w:val="28"/>
        </w:rPr>
        <w:t>б) по лучшей разнице забитых и пропущенных мячей во всех матчах в данной группе;</w:t>
      </w:r>
    </w:p>
    <w:p>
      <w:pPr>
        <w:ind w:firstLine="567"/>
        <w:rPr>
          <w:sz w:val="28"/>
        </w:rPr>
      </w:pPr>
      <w:r>
        <w:rPr>
          <w:sz w:val="28"/>
        </w:rPr>
        <w:t xml:space="preserve">в) по наибольшему числу забитых мячей во всех матчах данной группы; </w:t>
      </w:r>
    </w:p>
    <w:p>
      <w:pPr>
        <w:ind w:firstLine="567"/>
        <w:jc w:val="left"/>
        <w:rPr>
          <w:sz w:val="28"/>
        </w:rPr>
      </w:pPr>
      <w:r>
        <w:rPr>
          <w:sz w:val="28"/>
        </w:rPr>
        <w:t>г) по наименьшему количеству пропущенных мячей во всех матчах данной группы;</w:t>
      </w:r>
    </w:p>
    <w:p>
      <w:pPr>
        <w:ind w:firstLine="567"/>
        <w:jc w:val="left"/>
        <w:rPr>
          <w:sz w:val="28"/>
        </w:rPr>
      </w:pPr>
      <w:r>
        <w:rPr>
          <w:sz w:val="28"/>
        </w:rPr>
        <w:t>д) по наименьшему количеству штрафных баллов, полученных за нарушения правил игры в футбол (желтая карточка – 1 балл, красная карточка – 2 балла);</w:t>
      </w:r>
    </w:p>
    <w:p>
      <w:pPr>
        <w:ind w:firstLine="567"/>
        <w:jc w:val="left"/>
        <w:rPr>
          <w:sz w:val="28"/>
        </w:rPr>
      </w:pPr>
      <w:r>
        <w:rPr>
          <w:sz w:val="28"/>
        </w:rPr>
        <w:t>е) в случае равенства всех вышеперечисленных показателей победитель определяется жребием.</w:t>
      </w:r>
    </w:p>
    <w:p>
      <w:pPr>
        <w:ind w:firstLine="567"/>
        <w:jc w:val="left"/>
        <w:rPr>
          <w:b w:val="1"/>
          <w:sz w:val="28"/>
        </w:rPr>
      </w:pPr>
      <w:r>
        <w:rPr>
          <w:b w:val="1"/>
          <w:sz w:val="28"/>
        </w:rPr>
        <w:t>ж) в стыковых матчах в случае ничейного результата в основное время, для определения победителя, пробивается серия из 5 пенальти.</w:t>
      </w:r>
    </w:p>
    <w:p>
      <w:pPr>
        <w:jc w:val="left"/>
        <w:rPr>
          <w:b w:val="1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X. НАГРАЖДЕНИЕ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Команды, занявшие призовые места в Турнире, награждаются кубками, медалями и памятными призами.</w:t>
      </w:r>
    </w:p>
    <w:p>
      <w:pPr>
        <w:ind w:firstLine="567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Лучшие игроки Турнира (вратарь, защитник, нападающий, бомбардир и лучший игрок) награждаются памятными призами.</w:t>
      </w:r>
    </w:p>
    <w:p>
      <w:pPr>
        <w:rPr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XI. ФИНАНСОВЫЕ УСЛОВИЯ</w:t>
      </w:r>
    </w:p>
    <w:p>
      <w:pPr>
        <w:ind w:firstLine="567"/>
        <w:jc w:val="left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1. Расходы по командированию приглашенных команд несут направляющие организации (проезд, питание, размещение, заявочный взнос). Заявочный взнос за участие в турнире - </w:t>
      </w:r>
      <w:r>
        <w:rPr>
          <w:b w:val="1"/>
          <w:color w:val="000000"/>
          <w:sz w:val="28"/>
        </w:rPr>
        <w:t xml:space="preserve">15 000 (Пятнадцать тысяч) </w:t>
      </w:r>
      <w:r>
        <w:rPr>
          <w:color w:val="000000"/>
          <w:sz w:val="28"/>
        </w:rPr>
        <w:t>рублей с каждой команды.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2. Возможна авансовая оплата по безналичному расчёту с предварительным согласованием с проводящей организацией.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3. За счёт поступивших от команд-участниц Турнира заявочных взносов, Организатор оплачивает следующие расходы: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аренда спортсооружения (футбольные поля);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оплата судейства;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медицинское обеспечение участников в месте проведения Турнира;</w:t>
      </w:r>
    </w:p>
    <w:p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- приобретение наградной атрибутики (кубки, медали, дипломы и т.п.) для команд-призеров и участников Турнира;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приобретение памятных и специальных призов для лучших игроков и победителей конкурсов;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организация церемоний открытия и закрытия Турнира;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организация конкурсов для участников Турнира;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анонсирование и информационное сопровождение Турнира;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>- обеспечение участников соревнований питьевой водой;</w:t>
      </w:r>
    </w:p>
    <w:p>
      <w:pPr>
        <w:ind w:firstLine="567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- прочие расходы Организатора, связанные с организацией и проведением Турнира (канцтовары, связь, транспортные расходы и т.д.). </w:t>
      </w:r>
    </w:p>
    <w:p>
      <w:pPr>
        <w:ind w:firstLine="567"/>
        <w:jc w:val="center"/>
        <w:rPr>
          <w:b w:val="1"/>
          <w:color w:val="000000"/>
          <w:sz w:val="28"/>
        </w:rPr>
      </w:pPr>
    </w:p>
    <w:p>
      <w:pPr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XII. НЕПРЕДВИДЕННЫЕ ОБСТОЯТЕЛЬСТВА</w:t>
      </w:r>
    </w:p>
    <w:p>
      <w:pPr>
        <w:ind w:firstLine="735"/>
        <w:rPr>
          <w:sz w:val="28"/>
        </w:rPr>
      </w:pPr>
      <w:r>
        <w:rPr>
          <w:color w:val="000000"/>
          <w:sz w:val="28"/>
        </w:rPr>
        <w:t xml:space="preserve">1. По всем вопросам, не предусмотренным данным Положением, включая форс-мажорные обстоятельства, </w:t>
      </w:r>
      <w:r>
        <w:rPr>
          <w:sz w:val="28"/>
        </w:rPr>
        <w:t xml:space="preserve">возникающим в ходе соревнований и вне, решения принимаются организационным комитетом и/или Главной судейской коллегией (в пределах компетенции). </w:t>
      </w:r>
      <w:r>
        <w:rPr>
          <w:color w:val="000000"/>
          <w:sz w:val="28"/>
        </w:rPr>
        <w:t>Решения по непредвиденным обстоятельствам окончательные и не подлежат обжалованию.</w:t>
      </w:r>
    </w:p>
    <w:p>
      <w:pPr>
        <w:ind w:left="-180" w:right="-177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ДОПОЛНИТЕЛЬНЫЕ УСЛУГИ (ПИТАНИЕ, ПРОЖИВАНИЕ, ТРАНСФЕР) (расчетное время 12.00*):</w:t>
      </w:r>
    </w:p>
    <w:tbl>
      <w:tblPr>
        <w:tblW w:w="0" w:type="auto"/>
        <w:tblInd w:w="-1" w:type="dxa"/>
        <w:tblLayout w:type="fixed"/>
        <w:tblLook w:val="04A0"/>
      </w:tblPr>
      <w:tblGrid/>
      <w:tr>
        <w:trPr>
          <w:trHeight w:hRule="atLeast" w:val="240"/>
        </w:trPr>
        <w:tc>
          <w:tcPr>
            <w:tcW w:w="83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б/о "Голубой Факел" п. Широкая Балка – все возрастные группы </w:t>
            </w:r>
          </w:p>
        </w:tc>
        <w:tc>
          <w:tcPr>
            <w:tcW w:w="18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b w:val="1"/>
                <w:i w:val="1"/>
                <w:sz w:val="28"/>
              </w:rPr>
              <w:t>Стоимость</w:t>
            </w:r>
          </w:p>
        </w:tc>
      </w:tr>
      <w:tr>
        <w:trPr>
          <w:trHeight w:hRule="atLeast" w:val="285"/>
        </w:trPr>
        <w:tc>
          <w:tcPr>
            <w:tcW w:w="83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2-х и 3-х местное размещение с условиями на блок</w:t>
            </w:r>
          </w:p>
        </w:tc>
        <w:tc>
          <w:tcPr>
            <w:tcW w:w="18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00 руб.</w:t>
            </w:r>
          </w:p>
        </w:tc>
      </w:tr>
      <w:tr>
        <w:trPr>
          <w:trHeight w:hRule="atLeast" w:val="315"/>
        </w:trPr>
        <w:tc>
          <w:tcPr>
            <w:tcW w:w="83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3-х и 4-х местное размещение - номера категории "Стандарт" с условиями в номере</w:t>
            </w:r>
          </w:p>
        </w:tc>
        <w:tc>
          <w:tcPr>
            <w:tcW w:w="18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00 руб.</w:t>
            </w:r>
          </w:p>
        </w:tc>
      </w:tr>
      <w:tr>
        <w:trPr>
          <w:trHeight w:hRule="atLeast" w:val="270"/>
        </w:trPr>
        <w:tc>
          <w:tcPr>
            <w:tcW w:w="8331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3-х местное размещение - номера категории "Полулюкс" (улучш. стандарт)</w:t>
            </w:r>
          </w:p>
        </w:tc>
        <w:tc>
          <w:tcPr>
            <w:tcW w:w="1849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00 руб.</w:t>
            </w:r>
          </w:p>
        </w:tc>
      </w:tr>
      <w:tr>
        <w:trPr>
          <w:trHeight w:hRule="atLeast" w:val="270"/>
        </w:trPr>
        <w:tc>
          <w:tcPr>
            <w:tcW w:w="8331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2-х местное размещение - номера категории "Полулюкс" </w:t>
            </w:r>
          </w:p>
        </w:tc>
        <w:tc>
          <w:tcPr>
            <w:tcW w:w="1849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8"/>
              </w:rPr>
              <w:t>0 руб.</w:t>
            </w:r>
          </w:p>
        </w:tc>
      </w:tr>
      <w:tr>
        <w:trPr>
          <w:trHeight w:hRule="atLeast" w:val="180"/>
        </w:trPr>
        <w:tc>
          <w:tcPr>
            <w:tcW w:w="83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4-х разовое питание - "комплексное меню"</w:t>
            </w:r>
          </w:p>
        </w:tc>
        <w:tc>
          <w:tcPr>
            <w:tcW w:w="18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b w:val="1"/>
                <w:i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включено</w:t>
            </w:r>
          </w:p>
        </w:tc>
      </w:tr>
    </w:tbl>
    <w:p>
      <w:pPr>
        <w:ind w:left="-142" w:right="141"/>
        <w:jc w:val="center"/>
        <w:rPr>
          <w:i w:val="1"/>
          <w:color w:val="FF0000"/>
          <w:sz w:val="28"/>
        </w:rPr>
      </w:pPr>
      <w:r>
        <w:rPr>
          <w:i w:val="1"/>
          <w:color w:val="FF0000"/>
          <w:sz w:val="28"/>
          <w:shd w:val="clear" w:fill="FFFF00"/>
        </w:rPr>
        <w:t xml:space="preserve"> </w:t>
      </w:r>
    </w:p>
    <w:p>
      <w:pPr>
        <w:ind w:left="-142" w:right="141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Трансфер: аэропорт и ж/д вокзал г. Анапы – п. Широкая Балка и обратно – 16000р. </w:t>
      </w:r>
    </w:p>
    <w:p>
      <w:pPr>
        <w:ind w:left="-142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(с каждой команды).</w:t>
      </w:r>
    </w:p>
    <w:p>
      <w:pPr>
        <w:ind w:left="-142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Трансферт: ж/д вокзал г. Новороссийска – п. Широкая Балка и обратно – 7 000 р.  </w:t>
      </w:r>
    </w:p>
    <w:p>
      <w:pPr>
        <w:ind w:left="-142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(с каждой команды).</w:t>
      </w:r>
    </w:p>
    <w:p>
      <w:pPr>
        <w:ind w:left="-142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Трансферт: ж/д вокзал г. Краснодар – п. Широкая Балка и обратно – 24 000 р. </w:t>
      </w:r>
    </w:p>
    <w:p>
      <w:pPr>
        <w:ind w:left="-142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(с каждой команды).</w:t>
      </w:r>
    </w:p>
    <w:p>
      <w:pPr>
        <w:ind w:left="-142"/>
        <w:rPr>
          <w:i w:val="1"/>
          <w:color w:val="000000"/>
          <w:sz w:val="28"/>
          <w:u w:val="single"/>
        </w:rPr>
      </w:pPr>
      <w:r>
        <w:rPr>
          <w:i w:val="1"/>
          <w:color w:val="000000"/>
          <w:sz w:val="28"/>
          <w:u w:val="single"/>
        </w:rPr>
        <w:t xml:space="preserve">Стоимость трансфера указана для автобусов, вместимость которых до 22 человек. </w:t>
      </w:r>
    </w:p>
    <w:p>
      <w:pPr>
        <w:ind w:left="-142"/>
        <w:rPr>
          <w:i w:val="1"/>
          <w:color w:val="FF0000"/>
          <w:sz w:val="28"/>
        </w:rPr>
      </w:pPr>
      <w:r>
        <w:rPr>
          <w:i w:val="1"/>
          <w:color w:val="000000"/>
          <w:sz w:val="28"/>
        </w:rPr>
        <w:t>Подробности и условия трансфера необходимо согласовывать с организаторами</w:t>
      </w:r>
      <w:r>
        <w:rPr>
          <w:i w:val="1"/>
          <w:color w:val="FF0000"/>
          <w:sz w:val="28"/>
        </w:rPr>
        <w:t xml:space="preserve"> </w:t>
      </w:r>
      <w:r>
        <w:rPr>
          <w:i w:val="1"/>
          <w:color w:val="000000"/>
          <w:sz w:val="28"/>
        </w:rPr>
        <w:t>Турнира.</w:t>
      </w:r>
      <w:r>
        <w:rPr>
          <w:i w:val="1"/>
          <w:color w:val="FF0000"/>
          <w:sz w:val="28"/>
        </w:rPr>
        <w:t xml:space="preserve"> </w:t>
      </w:r>
    </w:p>
    <w:p>
      <w:pPr>
        <w:rPr>
          <w:i w:val="1"/>
          <w:color w:val="FF0000"/>
          <w:sz w:val="28"/>
        </w:rPr>
      </w:pPr>
    </w:p>
    <w:p>
      <w:pPr>
        <w:rPr>
          <w:i w:val="1"/>
          <w:color w:val="FF0000"/>
          <w:sz w:val="28"/>
        </w:rPr>
      </w:pPr>
    </w:p>
    <w:p>
      <w:pPr>
        <w:ind w:right="-177"/>
        <w:rPr>
          <w:sz w:val="28"/>
        </w:rPr>
      </w:pPr>
      <w:r>
        <w:rPr>
          <w:sz w:val="28"/>
        </w:rPr>
        <w:t>Дроздов Павел Георгиевич</w:t>
      </w:r>
    </w:p>
    <w:p>
      <w:pPr>
        <w:ind w:right="-177"/>
        <w:rPr>
          <w:color w:val="000000"/>
          <w:sz w:val="28"/>
        </w:rPr>
      </w:pPr>
      <w:r>
        <w:rPr>
          <w:sz w:val="28"/>
        </w:rPr>
        <w:t xml:space="preserve">Тел. </w:t>
      </w:r>
      <w:r>
        <w:rPr>
          <w:color w:val="000000"/>
          <w:sz w:val="28"/>
        </w:rPr>
        <w:t xml:space="preserve">8 (918) 326-70-32 </w:t>
      </w:r>
    </w:p>
    <w:p>
      <w:pPr>
        <w:ind w:right="-177"/>
        <w:rPr>
          <w:color w:val="000000"/>
          <w:sz w:val="28"/>
        </w:rPr>
      </w:pPr>
      <w:r>
        <w:rPr>
          <w:color w:val="000000"/>
          <w:sz w:val="28"/>
        </w:rPr>
        <w:t xml:space="preserve">E-mail: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"mailto:info@bcamp.ru"</w:instrText>
      </w:r>
      <w:r>
        <w:rPr>
          <w:color w:val="000000"/>
          <w:sz w:val="28"/>
        </w:rPr>
        <w:fldChar w:fldCharType="separate"/>
      </w:r>
      <w:r>
        <w:rPr>
          <w:rStyle w:val="C2"/>
          <w:sz w:val="28"/>
        </w:rPr>
        <w:t>info@bcamp.ru</w:t>
      </w:r>
      <w:r>
        <w:rPr>
          <w:rStyle w:val="C2"/>
          <w:sz w:val="28"/>
        </w:rPr>
        <w:fldChar w:fldCharType="end"/>
      </w:r>
      <w:r>
        <w:rPr>
          <w:color w:val="000000"/>
          <w:sz w:val="28"/>
        </w:rPr>
        <w:t xml:space="preserve"> </w:t>
      </w:r>
    </w:p>
    <w:p>
      <w:pPr>
        <w:ind w:right="-177"/>
        <w:rPr>
          <w:color w:val="000000"/>
          <w:sz w:val="28"/>
        </w:rPr>
      </w:pPr>
      <w:r>
        <w:rPr>
          <w:color w:val="000000"/>
          <w:sz w:val="28"/>
        </w:rPr>
        <w:t>Оф. сайт: bcamp.pro</w:t>
      </w:r>
    </w:p>
    <w:p>
      <w:pPr>
        <w:ind w:right="-177"/>
        <w:rPr>
          <w:color w:val="000000"/>
          <w:sz w:val="28"/>
        </w:rPr>
      </w:pPr>
      <w:r>
        <w:rPr>
          <w:color w:val="000000"/>
          <w:sz w:val="28"/>
        </w:rPr>
        <w:t>Информационный партнер: nvrff.ru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134" w:right="900" w:top="568" w:bottom="284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pStyle w:val="P2"/>
      <w:suff w:val="tab"/>
      <w:lvlText w:val="%1.%2."/>
      <w:lvlJc w:val="left"/>
      <w:pPr>
        <w:ind w:hanging="432" w:left="792"/>
        <w:tabs>
          <w:tab w:val="left" w:pos="792" w:leader="none"/>
        </w:tabs>
      </w:pPr>
      <w:rPr/>
    </w:lvl>
    <w:lvl w:ilvl="2">
      <w:start w:val="1"/>
      <w:numFmt w:val="decimal"/>
      <w:pStyle w:val="P3"/>
      <w:suff w:val="tab"/>
      <w:lvlText w:val="%1.%2.%3.  "/>
      <w:lvlJc w:val="left"/>
      <w:pPr>
        <w:ind w:hanging="504" w:left="1224"/>
        <w:tabs>
          <w:tab w:val="left" w:pos="1440" w:leader="none"/>
        </w:tabs>
      </w:pPr>
      <w:rPr/>
    </w:lvl>
    <w:lvl w:ilvl="3">
      <w:start w:val="1"/>
      <w:numFmt w:val="decimal"/>
      <w:pStyle w:val="P4"/>
      <w:suff w:val="tab"/>
      <w:lvlText w:val="%1.%2.%3.%4."/>
      <w:lvlJc w:val="left"/>
      <w:pPr>
        <w:ind w:hanging="648" w:left="1728"/>
        <w:tabs>
          <w:tab w:val="left" w:pos="2160" w:leader="none"/>
        </w:tabs>
      </w:pPr>
      <w:rPr>
        <w:rFonts w:ascii="Times New Roman" w:hAnsi="Times New Roman"/>
        <w:b w:val="0"/>
        <w:i w:val="0"/>
      </w:rPr>
    </w:lvl>
    <w:lvl w:ilvl="4">
      <w:start w:val="1"/>
      <w:numFmt w:val="decimal"/>
      <w:suff w:val="tab"/>
      <w:lvlText w:val="%1.%2.%3.%4.%5."/>
      <w:lvlJc w:val="left"/>
      <w:pPr>
        <w:ind w:hanging="792" w:left="2232"/>
        <w:tabs>
          <w:tab w:val="left" w:pos="2232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  <w:tabs>
          <w:tab w:val="left" w:pos="273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  <w:tabs>
          <w:tab w:val="left" w:pos="3744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  <w:tabs>
          <w:tab w:val="left" w:pos="4320" w:leader="none"/>
        </w:tabs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-"/>
      <w:lvlJc w:val="left"/>
      <w:pPr>
        <w:ind w:hanging="360" w:left="600"/>
        <w:tabs>
          <w:tab w:val="left" w:pos="600" w:leader="none"/>
        </w:tabs>
      </w:pPr>
      <w:rPr>
        <w:rFonts w:ascii="OpenSymbol" w:hAnsi="Open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hybridMultilevel"/>
    <w:lvl w:ilvl="0" w:tplc="0DFBC9EF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000000"/>
      </w:rPr>
    </w:lvl>
    <w:lvl w:ilvl="1" w:tplc="41F51DB8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000000"/>
      </w:rPr>
    </w:lvl>
    <w:lvl w:ilvl="2" w:tplc="7AC0C438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color w:val="000000"/>
      </w:rPr>
    </w:lvl>
    <w:lvl w:ilvl="3" w:tplc="64641121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color w:val="000000"/>
      </w:rPr>
    </w:lvl>
    <w:lvl w:ilvl="4" w:tplc="7209C2B5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color w:val="000000"/>
      </w:rPr>
    </w:lvl>
    <w:lvl w:ilvl="5" w:tplc="275835B3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  <w:color w:val="000000"/>
      </w:rPr>
    </w:lvl>
    <w:lvl w:ilvl="6" w:tplc="7C225313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color w:val="000000"/>
      </w:rPr>
    </w:lvl>
    <w:lvl w:ilvl="7" w:tplc="1FE65401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  <w:color w:val="000000"/>
      </w:rPr>
    </w:lvl>
    <w:lvl w:ilvl="8" w:tplc="08796736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color w:val="000000"/>
      </w:rPr>
    </w:lvl>
  </w:abstractNum>
  <w:abstractNum w:abstractNumId="3">
    <w:nsid w:val="00000004"/>
    <w:multiLevelType w:val="hybridMultilevel"/>
    <w:lvl w:ilvl="0" w:tplc="355C1FFD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000000"/>
      </w:rPr>
    </w:lvl>
    <w:lvl w:ilvl="1" w:tplc="4A427F75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000000"/>
      </w:rPr>
    </w:lvl>
    <w:lvl w:ilvl="2" w:tplc="0D26281D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color w:val="000000"/>
      </w:rPr>
    </w:lvl>
    <w:lvl w:ilvl="3" w:tplc="63B3624D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color w:val="000000"/>
      </w:rPr>
    </w:lvl>
    <w:lvl w:ilvl="4" w:tplc="31C4430A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color w:val="000000"/>
      </w:rPr>
    </w:lvl>
    <w:lvl w:ilvl="5" w:tplc="328A46C3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  <w:color w:val="000000"/>
      </w:rPr>
    </w:lvl>
    <w:lvl w:ilvl="6" w:tplc="42288348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color w:val="000000"/>
      </w:rPr>
    </w:lvl>
    <w:lvl w:ilvl="7" w:tplc="30A884A2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  <w:color w:val="000000"/>
      </w:rPr>
    </w:lvl>
    <w:lvl w:ilvl="8" w:tplc="177CA4E5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color w:val="000000"/>
      </w:rPr>
    </w:lvl>
  </w:abstractNum>
  <w:abstractNum w:abstractNumId="4">
    <w:nsid w:val="00000005"/>
    <w:multiLevelType w:val="hybridMultilevel"/>
    <w:lvl w:ilvl="0" w:tplc="7EADC668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000000"/>
      </w:rPr>
    </w:lvl>
    <w:lvl w:ilvl="1" w:tplc="7EE9FC04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000000"/>
      </w:rPr>
    </w:lvl>
    <w:lvl w:ilvl="2" w:tplc="1C9FBAD8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color w:val="000000"/>
      </w:rPr>
    </w:lvl>
    <w:lvl w:ilvl="3" w:tplc="4B9FEAC2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color w:val="000000"/>
      </w:rPr>
    </w:lvl>
    <w:lvl w:ilvl="4" w:tplc="15CA3E99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color w:val="000000"/>
      </w:rPr>
    </w:lvl>
    <w:lvl w:ilvl="5" w:tplc="4AF4C943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  <w:color w:val="000000"/>
      </w:rPr>
    </w:lvl>
    <w:lvl w:ilvl="6" w:tplc="412412BD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color w:val="000000"/>
      </w:rPr>
    </w:lvl>
    <w:lvl w:ilvl="7" w:tplc="711D5B5D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  <w:color w:val="000000"/>
      </w:rPr>
    </w:lvl>
    <w:lvl w:ilvl="8" w:tplc="36A40AD5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color w:val="000000"/>
      </w:rPr>
    </w:lvl>
  </w:abstractNum>
  <w:abstractNum w:abstractNumId="5">
    <w:nsid w:val="057203B4"/>
    <w:multiLevelType w:val="multilevel"/>
    <w:lvl w:ilvl="0">
      <w:start w:val="1"/>
      <w:numFmt w:val="decimal"/>
      <w:suff w:val="tab"/>
      <w:lvlText w:val="%1."/>
      <w:lvlJc w:val="left"/>
      <w:pPr>
        <w:ind w:hanging="405" w:left="972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6">
    <w:nsid w:val="11A346C0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7">
    <w:nsid w:val="2249770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28B65A8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9">
    <w:nsid w:val="2D195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D817C3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F451776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2FCA045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9662E4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9CF7771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3DB17E52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6">
    <w:nsid w:val="446A4CDF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508D712E"/>
    <w:multiLevelType w:val="multilevel"/>
    <w:lvl w:ilvl="0">
      <w:start w:val="2"/>
      <w:numFmt w:val="decimal"/>
      <w:suff w:val="tab"/>
      <w:lvlText w:val="%1"/>
      <w:lvlJc w:val="left"/>
      <w:pPr>
        <w:ind w:hanging="405" w:left="405"/>
      </w:pPr>
      <w:rPr>
        <w:u w:val="none"/>
      </w:rPr>
    </w:lvl>
    <w:lvl w:ilvl="1">
      <w:start w:val="2"/>
      <w:numFmt w:val="decimal"/>
      <w:suff w:val="tab"/>
      <w:lvlText w:val="%1.%2"/>
      <w:lvlJc w:val="left"/>
      <w:pPr>
        <w:ind w:hanging="405" w:left="405"/>
      </w:pPr>
      <w:rPr>
        <w:u w:val="none"/>
      </w:rPr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>
        <w:u w:val="none"/>
      </w:rPr>
    </w:lvl>
    <w:lvl w:ilvl="3">
      <w:start w:val="1"/>
      <w:numFmt w:val="decimal"/>
      <w:suff w:val="tab"/>
      <w:lvlText w:val="%1.%2.%3.%4"/>
      <w:lvlJc w:val="left"/>
      <w:pPr>
        <w:ind w:hanging="720" w:left="720"/>
      </w:pPr>
      <w:rPr>
        <w:u w:val="none"/>
      </w:rPr>
    </w:lvl>
    <w:lvl w:ilvl="4">
      <w:start w:val="1"/>
      <w:numFmt w:val="decimal"/>
      <w:suff w:val="tab"/>
      <w:lvlText w:val="%1.%2.%3.%4.%5"/>
      <w:lvlJc w:val="left"/>
      <w:pPr>
        <w:ind w:hanging="720" w:left="720"/>
      </w:pPr>
      <w:rPr>
        <w:u w:val="none"/>
      </w:rPr>
    </w:lvl>
    <w:lvl w:ilvl="5">
      <w:start w:val="1"/>
      <w:numFmt w:val="decimal"/>
      <w:suff w:val="tab"/>
      <w:lvlText w:val="%1.%2.%3.%4.%5.%6"/>
      <w:lvlJc w:val="left"/>
      <w:pPr>
        <w:ind w:hanging="1080" w:left="1080"/>
      </w:pPr>
      <w:rPr>
        <w:u w:val="none"/>
      </w:rPr>
    </w:lvl>
    <w:lvl w:ilvl="6">
      <w:start w:val="1"/>
      <w:numFmt w:val="decimal"/>
      <w:suff w:val="tab"/>
      <w:lvlText w:val="%1.%2.%3.%4.%5.%6.%7"/>
      <w:lvlJc w:val="left"/>
      <w:pPr>
        <w:ind w:hanging="1080" w:left="1080"/>
      </w:pPr>
      <w:rPr>
        <w:u w:val="none"/>
      </w:rPr>
    </w:lvl>
    <w:lvl w:ilvl="7">
      <w:start w:val="1"/>
      <w:numFmt w:val="decimal"/>
      <w:suff w:val="tab"/>
      <w:lvlText w:val="%1.%2.%3.%4.%5.%6.%7.%8"/>
      <w:lvlJc w:val="left"/>
      <w:pPr>
        <w:ind w:hanging="1440" w:left="1440"/>
      </w:pPr>
      <w:rPr>
        <w:u w:val="none"/>
      </w:rPr>
    </w:lvl>
    <w:lvl w:ilvl="8">
      <w:start w:val="1"/>
      <w:numFmt w:val="decimal"/>
      <w:suff w:val="tab"/>
      <w:lvlText w:val="%1.%2.%3.%4.%5.%6.%7.%8.%9"/>
      <w:lvlJc w:val="left"/>
      <w:pPr>
        <w:ind w:hanging="1440" w:left="1440"/>
      </w:pPr>
      <w:rPr>
        <w:u w:val="none"/>
      </w:rPr>
    </w:lvl>
  </w:abstractNum>
  <w:abstractNum w:abstractNumId="18">
    <w:nsid w:val="53AE7EE8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>
      <w:start w:val="1"/>
      <w:numFmt w:val="decimal"/>
      <w:suff w:val="tab"/>
      <w:lvlText w:val="%4."/>
      <w:lvlJc w:val="left"/>
      <w:pPr>
        <w:ind w:hanging="360" w:left="3447"/>
      </w:pPr>
      <w:rPr/>
    </w:lvl>
    <w:lvl w:ilvl="4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>
      <w:start w:val="1"/>
      <w:numFmt w:val="decimal"/>
      <w:suff w:val="tab"/>
      <w:lvlText w:val="%7."/>
      <w:lvlJc w:val="left"/>
      <w:pPr>
        <w:ind w:hanging="360" w:left="5607"/>
      </w:pPr>
      <w:rPr/>
    </w:lvl>
    <w:lvl w:ilvl="7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9">
    <w:nsid w:val="57C558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9834FA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B2653DC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22">
    <w:nsid w:val="6E5A509C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23">
    <w:nsid w:val="717C7C6F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24">
    <w:nsid w:val="74023632"/>
    <w:multiLevelType w:val="multilevel"/>
    <w:lvl w:ilvl="0">
      <w:start w:val="1"/>
      <w:numFmt w:val="decimal"/>
      <w:suff w:val="tab"/>
      <w:lvlText w:val="%1."/>
      <w:lvlJc w:val="left"/>
      <w:pPr>
        <w:ind w:hanging="375" w:left="73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49E1F7A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0"/>
  </w:num>
  <w:num w:numId="13">
    <w:abstractNumId w:val="12"/>
  </w:num>
  <w:num w:numId="14">
    <w:abstractNumId w:val="22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15"/>
  </w:num>
  <w:num w:numId="20">
    <w:abstractNumId w:val="25"/>
  </w:num>
  <w:num w:numId="21">
    <w:abstractNumId w:val="14"/>
  </w:num>
  <w:num w:numId="22">
    <w:abstractNumId w:val="16"/>
  </w:num>
  <w:num w:numId="23">
    <w:abstractNumId w:val="8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keepLines w:val="1"/>
      <w:suppressAutoHyphens w:val="1"/>
      <w:spacing w:before="60" w:beforeAutospacing="0" w:afterAutospacing="0"/>
      <w:jc w:val="both"/>
    </w:pPr>
    <w:rPr/>
  </w:style>
  <w:style w:type="paragraph" w:styleId="P1">
    <w:name w:val="heading 1"/>
    <w:basedOn w:val="P0"/>
    <w:next w:val="P0"/>
    <w:qFormat/>
    <w:pPr>
      <w:keepNext w:val="1"/>
      <w:keepLines w:val="0"/>
      <w:spacing w:before="0" w:beforeAutospacing="0" w:afterAutospacing="0"/>
      <w:jc w:val="left"/>
      <w:outlineLvl w:val="0"/>
    </w:pPr>
    <w:rPr>
      <w:b w:val="1"/>
      <w:sz w:val="24"/>
    </w:rPr>
  </w:style>
  <w:style w:type="paragraph" w:styleId="P2">
    <w:name w:val="heading 2"/>
    <w:basedOn w:val="P0"/>
    <w:next w:val="P0"/>
    <w:qFormat/>
    <w:pPr>
      <w:keepNext w:val="1"/>
      <w:numPr>
        <w:ilvl w:val="1"/>
        <w:numId w:val="1"/>
      </w:numPr>
      <w:tabs>
        <w:tab w:val="left" w:pos="3168" w:leader="none"/>
      </w:tabs>
      <w:outlineLvl w:val="1"/>
    </w:pPr>
    <w:rPr>
      <w:b w:val="1"/>
      <w:sz w:val="24"/>
    </w:rPr>
  </w:style>
  <w:style w:type="paragraph" w:styleId="P3">
    <w:name w:val="heading 3"/>
    <w:basedOn w:val="P0"/>
    <w:next w:val="P0"/>
    <w:qFormat/>
    <w:pPr>
      <w:numPr>
        <w:ilvl w:val="2"/>
        <w:numId w:val="1"/>
      </w:numPr>
      <w:tabs>
        <w:tab w:val="left" w:pos="5112" w:leader="none"/>
      </w:tabs>
      <w:outlineLvl w:val="2"/>
    </w:pPr>
    <w:rPr>
      <w:b w:val="1"/>
      <w:sz w:val="22"/>
    </w:rPr>
  </w:style>
  <w:style w:type="paragraph" w:styleId="P4">
    <w:name w:val="heading 4"/>
    <w:basedOn w:val="P0"/>
    <w:next w:val="P0"/>
    <w:qFormat/>
    <w:pPr>
      <w:keepNext w:val="1"/>
      <w:numPr>
        <w:ilvl w:val="3"/>
        <w:numId w:val="1"/>
      </w:numPr>
      <w:tabs>
        <w:tab w:val="left" w:pos="7344" w:leader="none"/>
      </w:tabs>
      <w:outlineLvl w:val="3"/>
    </w:pPr>
    <w:rPr/>
  </w:style>
  <w:style w:type="paragraph" w:styleId="P5">
    <w:name w:val="heading 5"/>
    <w:basedOn w:val="P0"/>
    <w:next w:val="P0"/>
    <w:qFormat/>
    <w:pPr>
      <w:keepNext w:val="1"/>
      <w:outlineLvl w:val="4"/>
    </w:pPr>
    <w:rPr>
      <w:sz w:val="24"/>
    </w:rPr>
  </w:style>
  <w:style w:type="paragraph" w:styleId="P6">
    <w:name w:val="heading 6"/>
    <w:basedOn w:val="P0"/>
    <w:next w:val="P0"/>
    <w:qFormat/>
    <w:pPr>
      <w:keepNext w:val="1"/>
      <w:outlineLvl w:val="5"/>
    </w:pPr>
    <w:rPr>
      <w:b w:val="1"/>
      <w:i w:val="1"/>
      <w:sz w:val="24"/>
    </w:rPr>
  </w:style>
  <w:style w:type="paragraph" w:styleId="P7">
    <w:name w:val="heading 7"/>
    <w:basedOn w:val="P0"/>
    <w:next w:val="P0"/>
    <w:qFormat/>
    <w:pPr>
      <w:keepNext w:val="1"/>
      <w:outlineLvl w:val="6"/>
    </w:pPr>
    <w:rPr>
      <w:b w:val="1"/>
      <w:sz w:val="24"/>
    </w:rPr>
  </w:style>
  <w:style w:type="paragraph" w:styleId="P8">
    <w:name w:val="heading 8"/>
    <w:basedOn w:val="P0"/>
    <w:next w:val="P0"/>
    <w:qFormat/>
    <w:pPr>
      <w:keepNext w:val="1"/>
      <w:outlineLvl w:val="7"/>
    </w:pPr>
    <w:rPr>
      <w:b w:val="1"/>
      <w:sz w:val="36"/>
    </w:rPr>
  </w:style>
  <w:style w:type="paragraph" w:styleId="P9">
    <w:name w:val="heading 9"/>
    <w:basedOn w:val="P0"/>
    <w:next w:val="P0"/>
    <w:qFormat/>
    <w:pPr>
      <w:keepNext w:val="1"/>
      <w:ind w:left="2010"/>
      <w:jc w:val="left"/>
      <w:outlineLvl w:val="8"/>
    </w:pPr>
    <w:rPr>
      <w:sz w:val="28"/>
    </w:rPr>
  </w:style>
  <w:style w:type="paragraph" w:styleId="P10">
    <w:name w:val="Default"/>
    <w:pPr/>
    <w:rPr>
      <w:rFonts w:ascii="Arial" w:hAnsi="Arial"/>
      <w:color w:val="000000"/>
      <w:sz w:val="24"/>
    </w:rPr>
  </w:style>
  <w:style w:type="paragraph" w:styleId="P11">
    <w:name w:val="Title"/>
    <w:basedOn w:val="P0"/>
    <w:next w:val="P12"/>
    <w:pPr>
      <w:keepNext w:val="1"/>
      <w:spacing w:before="240" w:after="120" w:beforeAutospacing="0" w:afterAutospacing="0"/>
    </w:pPr>
    <w:rPr>
      <w:rFonts w:ascii="Arial" w:hAnsi="Arial"/>
      <w:sz w:val="28"/>
    </w:rPr>
  </w:style>
  <w:style w:type="paragraph" w:styleId="P12">
    <w:name w:val="Body Text"/>
    <w:basedOn w:val="P0"/>
    <w:pPr>
      <w:spacing w:before="200" w:beforeAutospacing="0" w:afterAutospacing="0"/>
      <w:ind w:hanging="1134" w:left="1134"/>
    </w:pPr>
    <w:rPr>
      <w:rFonts w:ascii="Arial" w:hAnsi="Arial"/>
      <w:sz w:val="16"/>
    </w:rPr>
  </w:style>
  <w:style w:type="paragraph" w:styleId="P13">
    <w:name w:val="Название2"/>
    <w:basedOn w:val="P0"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14">
    <w:name w:val="Указатель2"/>
    <w:basedOn w:val="P0"/>
    <w:pPr>
      <w:suppressLineNumbers w:val="1"/>
    </w:pPr>
    <w:rPr/>
  </w:style>
  <w:style w:type="paragraph" w:styleId="P15">
    <w:name w:val="Название1"/>
    <w:basedOn w:val="P0"/>
    <w:pPr>
      <w:suppressLineNumbers w:val="1"/>
      <w:spacing w:before="120" w:after="120" w:beforeAutospacing="0" w:afterAutospacing="0"/>
    </w:pPr>
    <w:rPr>
      <w:rFonts w:ascii="Arial" w:hAnsi="Arial"/>
      <w:i w:val="1"/>
    </w:rPr>
  </w:style>
  <w:style w:type="paragraph" w:styleId="P16">
    <w:name w:val="Указатель1"/>
    <w:basedOn w:val="P0"/>
    <w:pPr>
      <w:suppressLineNumbers w:val="1"/>
    </w:pPr>
    <w:rPr>
      <w:rFonts w:ascii="Arial" w:hAnsi="Arial"/>
    </w:rPr>
  </w:style>
  <w:style w:type="paragraph" w:styleId="P17">
    <w:name w:val="заголовок 2"/>
    <w:basedOn w:val="P0"/>
    <w:next w:val="P0"/>
    <w:pPr>
      <w:spacing w:before="240" w:after="60" w:beforeAutospacing="0" w:afterAutospacing="0"/>
      <w:ind w:left="357"/>
    </w:pPr>
    <w:rPr>
      <w:sz w:val="22"/>
    </w:rPr>
  </w:style>
  <w:style w:type="paragraph" w:styleId="P18">
    <w:name w:val="заголовок 4"/>
    <w:basedOn w:val="P0"/>
    <w:next w:val="P0"/>
    <w:pPr>
      <w:keepNext w:val="1"/>
      <w:jc w:val="center"/>
    </w:pPr>
    <w:rPr>
      <w:b w:val="1"/>
      <w:sz w:val="24"/>
    </w:rPr>
  </w:style>
  <w:style w:type="paragraph" w:styleId="P19">
    <w:name w:val="Основной текст 21"/>
    <w:basedOn w:val="P0"/>
    <w:pPr>
      <w:tabs>
        <w:tab w:val="left" w:pos="435" w:leader="none"/>
      </w:tabs>
      <w:jc w:val="left"/>
    </w:pPr>
    <w:rPr/>
  </w:style>
  <w:style w:type="paragraph" w:styleId="P20">
    <w:name w:val="Основной текст 31"/>
    <w:basedOn w:val="P0"/>
    <w:pPr/>
    <w:rPr>
      <w:sz w:val="22"/>
    </w:rPr>
  </w:style>
  <w:style w:type="paragraph" w:styleId="P21">
    <w:name w:val="Схема документа1"/>
    <w:basedOn w:val="P0"/>
    <w:pPr>
      <w:shd w:val="clear" w:fill="000080"/>
    </w:pPr>
    <w:rPr>
      <w:rFonts w:ascii="Tahoma" w:hAnsi="Tahoma"/>
    </w:rPr>
  </w:style>
  <w:style w:type="paragraph" w:styleId="P22">
    <w:name w:val="Balloon Text"/>
    <w:basedOn w:val="P0"/>
    <w:pPr/>
    <w:rPr>
      <w:rFonts w:ascii="Tahoma" w:hAnsi="Tahoma"/>
      <w:sz w:val="16"/>
    </w:rPr>
  </w:style>
  <w:style w:type="paragraph" w:styleId="P23">
    <w:name w:val="head2"/>
    <w:basedOn w:val="P0"/>
    <w:pPr>
      <w:keepLines w:val="0"/>
      <w:spacing w:before="100" w:after="100" w:beforeAutospacing="0" w:afterAutospacing="0"/>
      <w:jc w:val="left"/>
    </w:pPr>
    <w:rPr>
      <w:sz w:val="24"/>
    </w:rPr>
  </w:style>
  <w:style w:type="paragraph" w:styleId="P24">
    <w:name w:val="Содержимое таблицы"/>
    <w:basedOn w:val="P0"/>
    <w:pPr>
      <w:suppressLineNumbers w:val="1"/>
    </w:pPr>
    <w:rPr/>
  </w:style>
  <w:style w:type="paragraph" w:styleId="P25">
    <w:name w:val="header"/>
    <w:basedOn w:val="P0"/>
    <w:link w:val="C67"/>
    <w:pPr>
      <w:tabs>
        <w:tab w:val="center" w:pos="4677" w:leader="none"/>
        <w:tab w:val="right" w:pos="9355" w:leader="none"/>
      </w:tabs>
    </w:pPr>
    <w:rPr/>
  </w:style>
  <w:style w:type="paragraph" w:styleId="P26">
    <w:name w:val="footer"/>
    <w:basedOn w:val="P0"/>
    <w:link w:val="C68"/>
    <w:pPr>
      <w:tabs>
        <w:tab w:val="center" w:pos="4677" w:leader="none"/>
        <w:tab w:val="right" w:pos="9355" w:leader="none"/>
      </w:tabs>
    </w:pPr>
    <w:rPr/>
  </w:style>
  <w:style w:type="paragraph" w:styleId="P27">
    <w:name w:val="List"/>
    <w:basedOn w:val="P12"/>
    <w:pPr/>
    <w:rPr/>
  </w:style>
  <w:style w:type="paragraph" w:styleId="P28">
    <w:name w:val="Заголовок таблицы"/>
    <w:basedOn w:val="P24"/>
    <w:pPr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WW8Num1z0"/>
    <w:rPr/>
  </w:style>
  <w:style w:type="character" w:styleId="C5">
    <w:name w:val="WW8Num1z1"/>
    <w:rPr/>
  </w:style>
  <w:style w:type="character" w:styleId="C6">
    <w:name w:val="WW8Num1z2"/>
    <w:rPr/>
  </w:style>
  <w:style w:type="character" w:styleId="C7">
    <w:name w:val="WW8Num1z3"/>
    <w:rPr>
      <w:rFonts w:ascii="Times New Roman" w:hAnsi="Times New Roman"/>
      <w:b w:val="0"/>
      <w:i w:val="0"/>
    </w:rPr>
  </w:style>
  <w:style w:type="character" w:styleId="C8">
    <w:name w:val="WW8Num1z4"/>
    <w:rPr/>
  </w:style>
  <w:style w:type="character" w:styleId="C9">
    <w:name w:val="WW8Num1z5"/>
    <w:rPr/>
  </w:style>
  <w:style w:type="character" w:styleId="C10">
    <w:name w:val="WW8Num1z6"/>
    <w:rPr/>
  </w:style>
  <w:style w:type="character" w:styleId="C11">
    <w:name w:val="WW8Num1z7"/>
    <w:rPr/>
  </w:style>
  <w:style w:type="character" w:styleId="C12">
    <w:name w:val="WW8Num1z8"/>
    <w:rPr/>
  </w:style>
  <w:style w:type="character" w:styleId="C13">
    <w:name w:val="WW8Num2z0"/>
    <w:rPr>
      <w:rFonts w:ascii="OpenSymbol" w:hAnsi="OpenSymbol"/>
    </w:rPr>
  </w:style>
  <w:style w:type="character" w:styleId="C14">
    <w:name w:val="WW8Num3z0"/>
    <w:rPr>
      <w:rFonts w:ascii="Symbol" w:hAnsi="Symbol"/>
      <w:color w:val="000000"/>
    </w:rPr>
  </w:style>
  <w:style w:type="character" w:styleId="C15">
    <w:name w:val="WW8Num4z0"/>
    <w:rPr>
      <w:rFonts w:ascii="Symbol" w:hAnsi="Symbol"/>
      <w:color w:val="000000"/>
    </w:rPr>
  </w:style>
  <w:style w:type="character" w:styleId="C16">
    <w:name w:val="WW8Num5z0"/>
    <w:rPr>
      <w:rFonts w:ascii="Symbol" w:hAnsi="Symbol"/>
      <w:color w:val="000000"/>
    </w:rPr>
  </w:style>
  <w:style w:type="character" w:styleId="C17">
    <w:name w:val="WW8Num6z0"/>
    <w:rPr>
      <w:rFonts w:ascii="Arial" w:hAnsi="Arial"/>
      <w:b w:val="1"/>
      <w:i w:val="1"/>
      <w:sz w:val="20"/>
    </w:rPr>
  </w:style>
  <w:style w:type="character" w:styleId="C18">
    <w:name w:val="Основной шрифт абзаца2"/>
    <w:rPr/>
  </w:style>
  <w:style w:type="character" w:styleId="C19">
    <w:name w:val="Absatz-Standardschriftart"/>
    <w:rPr/>
  </w:style>
  <w:style w:type="character" w:styleId="C20">
    <w:name w:val="WW-Absatz-Standardschriftart"/>
    <w:rPr/>
  </w:style>
  <w:style w:type="character" w:styleId="C21">
    <w:name w:val="WW-Absatz-Standardschriftart1"/>
    <w:rPr/>
  </w:style>
  <w:style w:type="character" w:styleId="C22">
    <w:name w:val="WW-Absatz-Standardschriftart11"/>
    <w:rPr/>
  </w:style>
  <w:style w:type="character" w:styleId="C23">
    <w:name w:val="WW-Absatz-Standardschriftart111"/>
    <w:rPr/>
  </w:style>
  <w:style w:type="character" w:styleId="C24">
    <w:name w:val="WW-Absatz-Standardschriftart1111"/>
    <w:rPr/>
  </w:style>
  <w:style w:type="character" w:styleId="C25">
    <w:name w:val="WW-Absatz-Standardschriftart11111"/>
    <w:rPr/>
  </w:style>
  <w:style w:type="character" w:styleId="C26">
    <w:name w:val="WW-Absatz-Standardschriftart111111"/>
    <w:rPr/>
  </w:style>
  <w:style w:type="character" w:styleId="C27">
    <w:name w:val="WW-Absatz-Standardschriftart1111111"/>
    <w:rPr/>
  </w:style>
  <w:style w:type="character" w:styleId="C28">
    <w:name w:val="WW-Absatz-Standardschriftart11111111"/>
    <w:rPr/>
  </w:style>
  <w:style w:type="character" w:styleId="C29">
    <w:name w:val="WW-Absatz-Standardschriftart111111111"/>
    <w:rPr/>
  </w:style>
  <w:style w:type="character" w:styleId="C30">
    <w:name w:val="WW-Absatz-Standardschriftart1111111111"/>
    <w:rPr/>
  </w:style>
  <w:style w:type="character" w:styleId="C31">
    <w:name w:val="WW-Absatz-Standardschriftart11111111111"/>
    <w:rPr/>
  </w:style>
  <w:style w:type="character" w:styleId="C32">
    <w:name w:val="WW-Absatz-Standardschriftart111111111111"/>
    <w:rPr/>
  </w:style>
  <w:style w:type="character" w:styleId="C33">
    <w:name w:val="WW-Absatz-Standardschriftart1111111111111"/>
    <w:rPr/>
  </w:style>
  <w:style w:type="character" w:styleId="C34">
    <w:name w:val="WW-Absatz-Standardschriftart11111111111111"/>
    <w:rPr/>
  </w:style>
  <w:style w:type="character" w:styleId="C35">
    <w:name w:val="WW-Absatz-Standardschriftart111111111111111"/>
    <w:rPr/>
  </w:style>
  <w:style w:type="character" w:styleId="C36">
    <w:name w:val="WW-Absatz-Standardschriftart1111111111111111"/>
    <w:rPr/>
  </w:style>
  <w:style w:type="character" w:styleId="C37">
    <w:name w:val="WW-Absatz-Standardschriftart11111111111111111"/>
    <w:rPr/>
  </w:style>
  <w:style w:type="character" w:styleId="C38">
    <w:name w:val="WW-Absatz-Standardschriftart111111111111111111"/>
    <w:rPr/>
  </w:style>
  <w:style w:type="character" w:styleId="C39">
    <w:name w:val="WW-Absatz-Standardschriftart1111111111111111111"/>
    <w:rPr/>
  </w:style>
  <w:style w:type="character" w:styleId="C40">
    <w:name w:val="WW-Absatz-Standardschriftart11111111111111111111"/>
    <w:rPr/>
  </w:style>
  <w:style w:type="character" w:styleId="C41">
    <w:name w:val="WW-Absatz-Standardschriftart111111111111111111111"/>
    <w:rPr/>
  </w:style>
  <w:style w:type="character" w:styleId="C42">
    <w:name w:val="WW-Absatz-Standardschriftart1111111111111111111111"/>
    <w:rPr/>
  </w:style>
  <w:style w:type="character" w:styleId="C43">
    <w:name w:val="WW-Absatz-Standardschriftart11111111111111111111111"/>
    <w:rPr/>
  </w:style>
  <w:style w:type="character" w:styleId="C44">
    <w:name w:val="WW-Absatz-Standardschriftart111111111111111111111111"/>
    <w:rPr/>
  </w:style>
  <w:style w:type="character" w:styleId="C45">
    <w:name w:val="WW-Absatz-Standardschriftart1111111111111111111111111"/>
    <w:rPr/>
  </w:style>
  <w:style w:type="character" w:styleId="C46">
    <w:name w:val="WW-Absatz-Standardschriftart11111111111111111111111111"/>
    <w:rPr/>
  </w:style>
  <w:style w:type="character" w:styleId="C47">
    <w:name w:val="WW-Absatz-Standardschriftart111111111111111111111111111"/>
    <w:rPr/>
  </w:style>
  <w:style w:type="character" w:styleId="C48">
    <w:name w:val="WW8Num7z0"/>
    <w:rPr>
      <w:b w:val="1"/>
      <w:sz w:val="20"/>
    </w:rPr>
  </w:style>
  <w:style w:type="character" w:styleId="C49">
    <w:name w:val="WW8Num8z0"/>
    <w:rPr>
      <w:b w:val="1"/>
      <w:sz w:val="20"/>
    </w:rPr>
  </w:style>
  <w:style w:type="character" w:styleId="C50">
    <w:name w:val="WW8Num9z0"/>
    <w:rPr>
      <w:b w:val="1"/>
      <w:sz w:val="20"/>
    </w:rPr>
  </w:style>
  <w:style w:type="character" w:styleId="C51">
    <w:name w:val="WW8Num10z0"/>
    <w:rPr>
      <w:rFonts w:ascii="Symbol" w:hAnsi="Symbol"/>
    </w:rPr>
  </w:style>
  <w:style w:type="character" w:styleId="C52">
    <w:name w:val="WW-Absatz-Standardschriftart1111111111111111111111111111"/>
    <w:rPr/>
  </w:style>
  <w:style w:type="character" w:styleId="C53">
    <w:name w:val="WW8Num11z0"/>
    <w:rPr>
      <w:rFonts w:ascii="Symbol" w:hAnsi="Symbol"/>
    </w:rPr>
  </w:style>
  <w:style w:type="character" w:styleId="C54">
    <w:name w:val="WW8Num12z0"/>
    <w:rPr>
      <w:b w:val="1"/>
      <w:sz w:val="20"/>
    </w:rPr>
  </w:style>
  <w:style w:type="character" w:styleId="C55">
    <w:name w:val="WW8Num13z0"/>
    <w:rPr>
      <w:b w:val="1"/>
      <w:sz w:val="20"/>
    </w:rPr>
  </w:style>
  <w:style w:type="character" w:styleId="C56">
    <w:name w:val="WW-Absatz-Standardschriftart11111111111111111111111111111"/>
    <w:rPr/>
  </w:style>
  <w:style w:type="character" w:styleId="C57">
    <w:name w:val="WW-Absatz-Standardschriftart111111111111111111111111111111"/>
    <w:rPr/>
  </w:style>
  <w:style w:type="character" w:styleId="C58">
    <w:name w:val="WW-Absatz-Standardschriftart1111111111111111111111111111111"/>
    <w:rPr/>
  </w:style>
  <w:style w:type="character" w:styleId="C59">
    <w:name w:val="WW-Absatz-Standardschriftart11111111111111111111111111111111"/>
    <w:rPr/>
  </w:style>
  <w:style w:type="character" w:styleId="C60">
    <w:name w:val="WW-Absatz-Standardschriftart111111111111111111111111111111111"/>
    <w:rPr/>
  </w:style>
  <w:style w:type="character" w:styleId="C61">
    <w:name w:val="Основной шрифт абзаца1"/>
    <w:rPr/>
  </w:style>
  <w:style w:type="character" w:styleId="C62">
    <w:name w:val="Основной шрифт"/>
    <w:rPr/>
  </w:style>
  <w:style w:type="character" w:styleId="C63">
    <w:name w:val="FollowedHyperlink"/>
    <w:rPr>
      <w:color w:val="800080"/>
      <w:u w:val="single"/>
    </w:rPr>
  </w:style>
  <w:style w:type="character" w:styleId="C64">
    <w:name w:val="Символ нумерации"/>
    <w:rPr>
      <w:b w:val="1"/>
      <w:sz w:val="20"/>
    </w:rPr>
  </w:style>
  <w:style w:type="character" w:styleId="C65">
    <w:name w:val="Маркеры списка"/>
    <w:rPr>
      <w:rFonts w:ascii="OpenSymbol" w:hAnsi="OpenSymbol"/>
    </w:rPr>
  </w:style>
  <w:style w:type="character" w:styleId="C66">
    <w:name w:val="Emphasis"/>
    <w:qFormat/>
    <w:rPr>
      <w:i w:val="1"/>
    </w:rPr>
  </w:style>
  <w:style w:type="character" w:styleId="C67">
    <w:name w:val="Верхний колонтитул Знак"/>
    <w:link w:val="P25"/>
    <w:rPr/>
  </w:style>
  <w:style w:type="character" w:styleId="C68">
    <w:name w:val="Нижний колонтитул Знак"/>
    <w:link w:val="P26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